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/>
          <w:b/>
          <w:sz w:val="36"/>
          <w:szCs w:val="36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附件：</w:t>
      </w:r>
    </w:p>
    <w:p>
      <w:pPr>
        <w:spacing w:line="54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优化建筑市场环境调研反馈表</w:t>
      </w:r>
    </w:p>
    <w:bookmarkEnd w:id="0"/>
    <w:tbl>
      <w:tblPr>
        <w:tblStyle w:val="2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08"/>
        <w:gridCol w:w="2550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反馈单位</w:t>
            </w:r>
          </w:p>
        </w:tc>
        <w:tc>
          <w:tcPr>
            <w:tcW w:w="7422" w:type="dxa"/>
            <w:gridSpan w:val="3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调研项目</w:t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调研内容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主要问题</w:t>
            </w: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spacing w:line="387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一、促进建筑市场公平竞争方面</w:t>
            </w:r>
          </w:p>
          <w:p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1.有关部门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对企业设置不合理和歧视性的准入和退出条件，如审批、备案事项或者告知条件，减损市场主体合法权益或者增加其法定之外的义务等情况。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spacing w:line="387" w:lineRule="atLeast"/>
              <w:ind w:firstLine="173" w:firstLineChars="62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2.除依法依规设立的保证金外，设置其它保证金，限制保证金缴纳方式缴纳及逾期返还保证金等情况。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spacing w:line="387" w:lineRule="atLeast"/>
              <w:ind w:firstLine="173" w:firstLineChars="62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3.对省、市重点扶持企业在资质晋级、工程承揽、工程投标等方面扶持政策落实等情况。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二、规范建设工程招标活动方面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1.招标人招标活动中有哪些不规范行为。包括有关部门、个人干涉工程招投标活动，招标组织不规范，排斥潜在投标人，提出过高资质要求，不按中标内容签订合同等情况。</w:t>
            </w:r>
          </w:p>
          <w:p>
            <w:pPr>
              <w:spacing w:line="280" w:lineRule="exact"/>
              <w:ind w:firstLine="317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2.招标代理单位在招投标活动中不规范行为。包括串标行为，干预评标行为等情况。</w:t>
            </w:r>
          </w:p>
          <w:p>
            <w:pPr>
              <w:spacing w:line="280" w:lineRule="exact"/>
              <w:ind w:firstLine="317"/>
              <w:rPr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3.招投标活动中，当前围串标行为、突出问题的具体表现。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4.招投标活动中，有哪些违规挂靠行为和突出问题。</w:t>
            </w:r>
          </w:p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5.招投标活动电子化交易的辅助软件（如计价软件）提供商是否存在帮助投标人围串标等情况。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6.电子交易系统是否存在数据安全保密工作不到位情况。是否有泄露投标人信息的情况。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7.在工程招投标活动中如何体现择优机制，如何规范信用分使用。</w:t>
            </w:r>
          </w:p>
          <w:p>
            <w:pPr>
              <w:spacing w:line="280" w:lineRule="exact"/>
              <w:ind w:firstLine="31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三、加强建筑市场监督管理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hanging="108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/>
                <w:sz w:val="24"/>
                <w:szCs w:val="24"/>
              </w:rPr>
              <w:t>1.行政监督存在哪些不规范、不到位问题。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spacing w:line="54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noWrap w:val="0"/>
            <w:vAlign w:val="top"/>
          </w:tcPr>
          <w:p>
            <w:pPr>
              <w:spacing w:line="28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2.如何加强标后监</w:t>
            </w:r>
          </w:p>
          <w:p>
            <w:pPr>
              <w:spacing w:line="280" w:lineRule="exact"/>
              <w:ind w:left="1" w:leftChars="-51" w:hanging="108" w:hangingChars="4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管，防范卖标、转包、</w:t>
            </w:r>
          </w:p>
          <w:p>
            <w:pPr>
              <w:spacing w:line="280" w:lineRule="exact"/>
              <w:ind w:left="-107" w:leftChars="-5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非法分包等违法违规行为。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spacing w:line="280" w:lineRule="exact"/>
              <w:rPr>
                <w:sz w:val="36"/>
                <w:szCs w:val="36"/>
              </w:rPr>
            </w:pPr>
          </w:p>
        </w:tc>
        <w:tc>
          <w:tcPr>
            <w:tcW w:w="2464" w:type="dxa"/>
            <w:noWrap w:val="0"/>
            <w:vAlign w:val="top"/>
          </w:tcPr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widowControl/>
              <w:jc w:val="left"/>
              <w:rPr>
                <w:sz w:val="36"/>
                <w:szCs w:val="36"/>
              </w:rPr>
            </w:pPr>
          </w:p>
          <w:p>
            <w:pPr>
              <w:spacing w:line="28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四、其他问题：</w:t>
            </w:r>
          </w:p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2020-06-29T04:17:32Z</dcterms:created>
  <dc:creator>胡凯</dc:creator>
  <cp:lastModifiedBy>草根创业营 胡凯 18629964070</cp:lastModifiedBy>
  <dcterms:modified xsi:type="dcterms:W3CDTF">2020-06-29T04:17:38Z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